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16"/>
        </w:rPr>
        <w:t>Shift 1and 2--Informational Text relevant to Social Studies (Culture/History/Geography)</w:t>
      </w: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16"/>
        </w:rPr>
        <w:t>Shift 4—Text based Answers</w:t>
      </w: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16"/>
        </w:rPr>
        <w:t>Shift 6--Vocabulary</w:t>
      </w: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16"/>
        </w:rPr>
      </w:pP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16"/>
        </w:rPr>
      </w:pPr>
      <w:proofErr w:type="spellStart"/>
      <w:proofErr w:type="gramStart"/>
      <w:r w:rsidRPr="00907B6F">
        <w:rPr>
          <w:rFonts w:ascii="Times New Roman" w:hAnsi="Times New Roman" w:cs="Times New Roman"/>
          <w:b/>
          <w:bCs/>
          <w:sz w:val="28"/>
          <w:szCs w:val="16"/>
        </w:rPr>
        <w:t>Deedy</w:t>
      </w:r>
      <w:proofErr w:type="spellEnd"/>
      <w:r w:rsidRPr="00907B6F">
        <w:rPr>
          <w:rFonts w:ascii="Times New Roman" w:hAnsi="Times New Roman" w:cs="Times New Roman"/>
          <w:b/>
          <w:bCs/>
          <w:sz w:val="28"/>
          <w:szCs w:val="16"/>
        </w:rPr>
        <w:t>, Carmen Agra.</w:t>
      </w:r>
      <w:proofErr w:type="gramEnd"/>
      <w:r w:rsidRPr="00907B6F">
        <w:rPr>
          <w:rFonts w:ascii="Times New Roman" w:hAnsi="Times New Roman" w:cs="Times New Roman"/>
          <w:b/>
          <w:bCs/>
          <w:sz w:val="28"/>
          <w:szCs w:val="16"/>
        </w:rPr>
        <w:t xml:space="preserve"> </w:t>
      </w:r>
      <w:proofErr w:type="gramStart"/>
      <w:r w:rsidRPr="00907B6F">
        <w:rPr>
          <w:rFonts w:ascii="Times New Roman" w:hAnsi="Times New Roman" w:cs="Times New Roman"/>
          <w:b/>
          <w:bCs/>
          <w:i/>
          <w:iCs/>
          <w:sz w:val="28"/>
          <w:szCs w:val="16"/>
        </w:rPr>
        <w:t>14 Cows for America.</w:t>
      </w:r>
      <w:proofErr w:type="gramEnd"/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16"/>
        </w:rPr>
      </w:pPr>
      <w:r w:rsidRPr="00907B6F">
        <w:rPr>
          <w:rFonts w:ascii="Times New Roman" w:hAnsi="Times New Roman" w:cs="Times New Roman"/>
          <w:b/>
          <w:bCs/>
          <w:i/>
          <w:iCs/>
          <w:sz w:val="28"/>
          <w:szCs w:val="16"/>
        </w:rPr>
        <w:t xml:space="preserve"> </w:t>
      </w:r>
      <w:proofErr w:type="gramStart"/>
      <w:r w:rsidRPr="00907B6F">
        <w:rPr>
          <w:rFonts w:ascii="Times New Roman" w:hAnsi="Times New Roman" w:cs="Times New Roman"/>
          <w:b/>
          <w:bCs/>
          <w:sz w:val="28"/>
          <w:szCs w:val="16"/>
        </w:rPr>
        <w:t xml:space="preserve">In collaboration with Wilson </w:t>
      </w:r>
      <w:proofErr w:type="spellStart"/>
      <w:r w:rsidRPr="00907B6F">
        <w:rPr>
          <w:rFonts w:ascii="Times New Roman" w:hAnsi="Times New Roman" w:cs="Times New Roman"/>
          <w:b/>
          <w:bCs/>
          <w:sz w:val="28"/>
          <w:szCs w:val="16"/>
        </w:rPr>
        <w:t>Kimeli</w:t>
      </w:r>
      <w:proofErr w:type="spellEnd"/>
      <w:r w:rsidRPr="00907B6F">
        <w:rPr>
          <w:rFonts w:ascii="Times New Roman" w:hAnsi="Times New Roman" w:cs="Times New Roman"/>
          <w:b/>
          <w:bCs/>
          <w:sz w:val="28"/>
          <w:szCs w:val="16"/>
        </w:rPr>
        <w:t xml:space="preserve"> </w:t>
      </w:r>
      <w:proofErr w:type="spellStart"/>
      <w:r w:rsidRPr="00907B6F">
        <w:rPr>
          <w:rFonts w:ascii="Times New Roman" w:hAnsi="Times New Roman" w:cs="Times New Roman"/>
          <w:b/>
          <w:bCs/>
          <w:sz w:val="28"/>
          <w:szCs w:val="16"/>
        </w:rPr>
        <w:t>Naiyomah</w:t>
      </w:r>
      <w:proofErr w:type="spellEnd"/>
      <w:r w:rsidRPr="00907B6F">
        <w:rPr>
          <w:rFonts w:ascii="Times New Roman" w:hAnsi="Times New Roman" w:cs="Times New Roman"/>
          <w:b/>
          <w:bCs/>
          <w:sz w:val="28"/>
          <w:szCs w:val="16"/>
        </w:rPr>
        <w:t>.</w:t>
      </w:r>
      <w:proofErr w:type="gramEnd"/>
      <w:r w:rsidRPr="00907B6F">
        <w:rPr>
          <w:rFonts w:ascii="Times New Roman" w:hAnsi="Times New Roman" w:cs="Times New Roman"/>
          <w:b/>
          <w:bCs/>
          <w:sz w:val="28"/>
          <w:szCs w:val="16"/>
        </w:rPr>
        <w:t xml:space="preserve"> </w:t>
      </w: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16"/>
        </w:rPr>
      </w:pPr>
      <w:proofErr w:type="gramStart"/>
      <w:r w:rsidRPr="00907B6F">
        <w:rPr>
          <w:rFonts w:ascii="Times New Roman" w:hAnsi="Times New Roman" w:cs="Times New Roman"/>
          <w:b/>
          <w:bCs/>
          <w:sz w:val="28"/>
          <w:szCs w:val="16"/>
        </w:rPr>
        <w:t>Illustrated by Thomas Gonzalez.</w:t>
      </w:r>
      <w:proofErr w:type="gramEnd"/>
      <w:r w:rsidRPr="00907B6F">
        <w:rPr>
          <w:rFonts w:ascii="Times New Roman" w:hAnsi="Times New Roman" w:cs="Times New Roman"/>
          <w:b/>
          <w:bCs/>
          <w:sz w:val="28"/>
          <w:szCs w:val="16"/>
        </w:rPr>
        <w:t xml:space="preserve"> Atlanta: Peachtree, 2009. (2009)</w:t>
      </w: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The remote village waits for a story to be told. News travels slowly to this corner of Kenya. As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Kimeli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nears his village, he watches a herd of bull giraffes cross the open grassland. He smiles. He has been away a long time.</w:t>
      </w: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>A girl sitting under a guava tree sees him first and cries out to the others. The children run to him with the speed and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grace of cheetahs. He greets them with a gentle touch on his head, a warrior’s blessing.</w:t>
      </w: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The rest of the tribe soon surrounds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Kimeli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. These are his people. These are the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Maasai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>.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 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Once they were feared warriors. Now they live peaceably as nomadic cattle herders. They treat their cows as kindly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as they do their children. They sign to them. They give them names. They shelter the young ones in their homes.</w:t>
      </w: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Without the herd, the tribe might starve.  To the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Maasai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>, the cow is life</w:t>
      </w:r>
      <w:r>
        <w:rPr>
          <w:rFonts w:ascii="Times New Roman" w:eastAsia="Gotham-Book" w:hAnsi="Times New Roman" w:cs="Times New Roman"/>
          <w:sz w:val="28"/>
          <w:szCs w:val="16"/>
        </w:rPr>
        <w:t>.</w:t>
      </w: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010C15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“</w:t>
      </w:r>
      <w:proofErr w:type="spellStart"/>
      <w:r w:rsidRPr="00907B6F">
        <w:rPr>
          <w:rFonts w:ascii="Times New Roman" w:hAnsi="Times New Roman" w:cs="Times New Roman"/>
          <w:i/>
          <w:iCs/>
          <w:sz w:val="28"/>
          <w:szCs w:val="16"/>
        </w:rPr>
        <w:t>Súpa</w:t>
      </w:r>
      <w:proofErr w:type="spellEnd"/>
      <w:r>
        <w:rPr>
          <w:rFonts w:ascii="Times New Roman" w:hAnsi="Times New Roman" w:cs="Times New Roman"/>
          <w:i/>
          <w:iCs/>
          <w:sz w:val="28"/>
          <w:szCs w:val="16"/>
        </w:rPr>
        <w:t xml:space="preserve">,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Hello,”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Kimeli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hears again and again. Everyone wants to greet him. His eyes find his mother across the </w:t>
      </w:r>
      <w:proofErr w:type="spellStart"/>
      <w:r w:rsidRPr="00907B6F">
        <w:rPr>
          <w:rFonts w:ascii="Times New Roman" w:hAnsi="Times New Roman" w:cs="Times New Roman"/>
          <w:i/>
          <w:iCs/>
          <w:sz w:val="28"/>
          <w:szCs w:val="16"/>
        </w:rPr>
        <w:t>enkáng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, the ring of huts with their roofs of sun-baked dung. 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She spreads her arms and calls to him, “</w:t>
      </w:r>
      <w:proofErr w:type="spellStart"/>
      <w:r w:rsidRPr="00907B6F">
        <w:rPr>
          <w:rFonts w:ascii="Times New Roman" w:hAnsi="Times New Roman" w:cs="Times New Roman"/>
          <w:i/>
          <w:iCs/>
          <w:sz w:val="28"/>
          <w:szCs w:val="16"/>
        </w:rPr>
        <w:t>Aakúa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. Welcome, Amy son.”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Kimeli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sighs. He is home.</w:t>
      </w: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>This is sweeter and sadder because he cannot stay. He must return to the faraway country where he is learning to be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a doctor. He thinks of New York then. He remembers September.</w:t>
      </w: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A child asks if he has brought any stories.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Kimeli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nods. He has brought with him one story. It has burned a hole in his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heart.</w:t>
      </w: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>But first he must speak with the elders.</w:t>
      </w:r>
    </w:p>
    <w:p w:rsidR="00C42BD5" w:rsidRPr="00907B6F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C42BD5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Later, in a tradition as old as the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Maasai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>, the rest of the tribe gathers under an acacia tree to hear the story. There is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a terrible stillness in the air as the tale unfolds. With growing disbelief, men, women, and children listen. </w:t>
      </w: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C42BD5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lastRenderedPageBreak/>
        <w:t>Buildings so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tall they can touch the sky? Fires so hot they can melt iron? Smoke and dust so thick they can block out the sun?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The story ends. More than three thousand souls are lost. A great silence falls over the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Maasai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.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Kimeli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waits. 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   </w:t>
      </w: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>He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knows his people. They are fierce when provoked, but easily moved to kindness when they hear of suffering or injustice.</w:t>
      </w:r>
    </w:p>
    <w:p w:rsidR="00C42BD5" w:rsidRPr="00907B6F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>At last, an elder speaks. He is shaken, but above all, he is sad. “What can we do for these poor people?” Nearby, a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cow lows. Heads turn toward the herd. “To the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Maasai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,”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Kimeli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says softly, “the cow is life.”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</w:p>
    <w:p w:rsidR="00C42BD5" w:rsidRPr="00907B6F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C42BD5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Turning to the elders,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Kimeli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offers his only cow,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Enkarus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>. He asks for their blessing. They give it gladly. But they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want to offer something more.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The tribe sends word to the United States Embassy in Nairobi. In response, the embassy sends a diplomat. </w:t>
      </w: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>His jeep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jounces along the dusty, rugged roads. He is hot and tired. He thinks he is going to meet with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Maasai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elders. He cannot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be more wrong. As the jeep nears the edge of the village the man sits up. Clearly, this is no ordinary diplomatic</w:t>
      </w:r>
    </w:p>
    <w:p w:rsidR="00C42BD5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proofErr w:type="gramStart"/>
      <w:r w:rsidRPr="00907B6F">
        <w:rPr>
          <w:rFonts w:ascii="Times New Roman" w:eastAsia="Gotham-Book" w:hAnsi="Times New Roman" w:cs="Times New Roman"/>
          <w:sz w:val="28"/>
          <w:szCs w:val="16"/>
        </w:rPr>
        <w:t>visit</w:t>
      </w:r>
      <w:proofErr w:type="gramEnd"/>
      <w:r w:rsidRPr="00907B6F">
        <w:rPr>
          <w:rFonts w:ascii="Times New Roman" w:eastAsia="Gotham-Book" w:hAnsi="Times New Roman" w:cs="Times New Roman"/>
          <w:sz w:val="28"/>
          <w:szCs w:val="16"/>
        </w:rPr>
        <w:t>. This is…</w:t>
      </w:r>
    </w:p>
    <w:p w:rsidR="00C42BD5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proofErr w:type="gramStart"/>
      <w:r w:rsidRPr="00907B6F">
        <w:rPr>
          <w:rFonts w:ascii="Times New Roman" w:eastAsia="Gotham-Book" w:hAnsi="Times New Roman" w:cs="Times New Roman"/>
          <w:sz w:val="28"/>
          <w:szCs w:val="16"/>
        </w:rPr>
        <w:t>…a ceremony.</w:t>
      </w:r>
      <w:proofErr w:type="gram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Hundreds of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Maasai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greet the American in full tribal splendor. At the sight of the brilliant blood-red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tunics and spectacular beaded collars, he can only marvel.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>It is a day of sacred ritual. Young warriors dance, leaping into the air like fish from a stream. Women sing mournful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>songs. Children fill their bellies with milk. Speeches are exchanged. And now it is time.</w:t>
      </w:r>
    </w:p>
    <w:p w:rsidR="00C42BD5" w:rsidRPr="00907B6F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P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Kimeli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and his people gather on a sacred knoll, far from the village. The only sound is the gentle chiming of cowbells.</w:t>
      </w:r>
      <w:r w:rsidR="00C42BD5">
        <w:rPr>
          <w:rFonts w:ascii="Times New Roman" w:eastAsia="Gotham-Book" w:hAnsi="Times New Roman" w:cs="Times New Roman"/>
          <w:sz w:val="28"/>
          <w:szCs w:val="16"/>
        </w:rPr>
        <w:t xml:space="preserve">  </w:t>
      </w: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The elders chant a blessing in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Maa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as the </w:t>
      </w:r>
      <w:proofErr w:type="spellStart"/>
      <w:r w:rsidRPr="00907B6F">
        <w:rPr>
          <w:rFonts w:ascii="Times New Roman" w:eastAsia="Gotham-Book" w:hAnsi="Times New Roman" w:cs="Times New Roman"/>
          <w:sz w:val="28"/>
          <w:szCs w:val="16"/>
        </w:rPr>
        <w:t>Maasai</w:t>
      </w:r>
      <w:proofErr w:type="spell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people of Kenya present…</w:t>
      </w: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>…</w:t>
      </w:r>
      <w:proofErr w:type="gramStart"/>
      <w:r w:rsidRPr="00907B6F">
        <w:rPr>
          <w:rFonts w:ascii="Times New Roman" w:eastAsia="Gotham-Book" w:hAnsi="Times New Roman" w:cs="Times New Roman"/>
          <w:sz w:val="28"/>
          <w:szCs w:val="16"/>
        </w:rPr>
        <w:t>fourteen</w:t>
      </w:r>
      <w:proofErr w:type="gram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cows for America.</w:t>
      </w:r>
    </w:p>
    <w:p w:rsidR="00C42BD5" w:rsidRPr="00907B6F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907B6F" w:rsidRDefault="00907B6F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Because there is </w:t>
      </w:r>
      <w:proofErr w:type="gramStart"/>
      <w:r w:rsidRPr="00907B6F">
        <w:rPr>
          <w:rFonts w:ascii="Times New Roman" w:eastAsia="Gotham-Book" w:hAnsi="Times New Roman" w:cs="Times New Roman"/>
          <w:sz w:val="28"/>
          <w:szCs w:val="16"/>
        </w:rPr>
        <w:t>no nation so powerful it cannot be wounded, nor</w:t>
      </w:r>
      <w:proofErr w:type="gramEnd"/>
      <w:r w:rsidRPr="00907B6F">
        <w:rPr>
          <w:rFonts w:ascii="Times New Roman" w:eastAsia="Gotham-Book" w:hAnsi="Times New Roman" w:cs="Times New Roman"/>
          <w:sz w:val="28"/>
          <w:szCs w:val="16"/>
        </w:rPr>
        <w:t xml:space="preserve"> a people so small they cannot offer mighty comfort.</w:t>
      </w: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FD0984" w:rsidRDefault="00FD0984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FD0984" w:rsidRDefault="00FD0984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FD0984" w:rsidRDefault="00FD0984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lastRenderedPageBreak/>
        <w:t>Lesson Framework</w:t>
      </w:r>
    </w:p>
    <w:p w:rsidR="00C42BD5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Before Reading:</w:t>
      </w:r>
    </w:p>
    <w:p w:rsidR="00871FC5" w:rsidRDefault="00871FC5" w:rsidP="00907B6F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871FC5" w:rsidRDefault="00871FC5" w:rsidP="00871F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 xml:space="preserve"> Access Prior Knowledge by </w:t>
      </w:r>
      <w:r w:rsidR="007C09AF">
        <w:rPr>
          <w:rFonts w:ascii="Times New Roman" w:eastAsia="Gotham-Book" w:hAnsi="Times New Roman" w:cs="Times New Roman"/>
          <w:sz w:val="28"/>
          <w:szCs w:val="16"/>
        </w:rPr>
        <w:t xml:space="preserve">having students </w:t>
      </w:r>
      <w:proofErr w:type="gramStart"/>
      <w:r w:rsidR="007C09AF">
        <w:rPr>
          <w:rFonts w:ascii="Times New Roman" w:eastAsia="Gotham-Book" w:hAnsi="Times New Roman" w:cs="Times New Roman"/>
          <w:sz w:val="28"/>
          <w:szCs w:val="16"/>
        </w:rPr>
        <w:t>complete</w:t>
      </w:r>
      <w:proofErr w:type="gramEnd"/>
      <w:r w:rsidR="007C09AF">
        <w:rPr>
          <w:rFonts w:ascii="Times New Roman" w:eastAsia="Gotham-Book" w:hAnsi="Times New Roman" w:cs="Times New Roman"/>
          <w:sz w:val="28"/>
          <w:szCs w:val="16"/>
        </w:rPr>
        <w:t xml:space="preserve"> the Anticipation/Reaction guide.</w:t>
      </w:r>
    </w:p>
    <w:p w:rsidR="007C09AF" w:rsidRDefault="007C09AF" w:rsidP="00871F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Share opinions marked on their guide.</w:t>
      </w:r>
    </w:p>
    <w:p w:rsidR="0084262F" w:rsidRDefault="0084262F" w:rsidP="00871FC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Vocabulary Predictions:  Projecting or Charting Tier II words within the passage.  Placing words in a “Bingo” style chart.</w:t>
      </w:r>
    </w:p>
    <w:p w:rsidR="0084262F" w:rsidRDefault="0084262F" w:rsidP="008426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84262F" w:rsidRDefault="0084262F" w:rsidP="008426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930"/>
        <w:gridCol w:w="2953"/>
        <w:gridCol w:w="2973"/>
      </w:tblGrid>
      <w:tr w:rsidR="0084262F" w:rsidTr="0084262F">
        <w:tc>
          <w:tcPr>
            <w:tcW w:w="3192" w:type="dxa"/>
          </w:tcPr>
          <w:p w:rsidR="0084262F" w:rsidRDefault="0084262F" w:rsidP="0084262F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Gotham-Book" w:hAnsi="Times New Roman" w:cs="Times New Roman"/>
                <w:sz w:val="28"/>
                <w:szCs w:val="16"/>
              </w:rPr>
            </w:pPr>
            <w:r>
              <w:rPr>
                <w:rFonts w:ascii="Times New Roman" w:eastAsia="Gotham-Book" w:hAnsi="Times New Roman" w:cs="Times New Roman"/>
                <w:sz w:val="28"/>
                <w:szCs w:val="16"/>
              </w:rPr>
              <w:t>fierce</w:t>
            </w:r>
          </w:p>
        </w:tc>
        <w:tc>
          <w:tcPr>
            <w:tcW w:w="3192" w:type="dxa"/>
          </w:tcPr>
          <w:p w:rsidR="0084262F" w:rsidRDefault="0084262F" w:rsidP="0084262F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Gotham-Book" w:hAnsi="Times New Roman" w:cs="Times New Roman"/>
                <w:sz w:val="28"/>
                <w:szCs w:val="16"/>
              </w:rPr>
            </w:pPr>
            <w:r>
              <w:rPr>
                <w:rFonts w:ascii="Times New Roman" w:eastAsia="Gotham-Book" w:hAnsi="Times New Roman" w:cs="Times New Roman"/>
                <w:sz w:val="28"/>
                <w:szCs w:val="16"/>
              </w:rPr>
              <w:t>ritual</w:t>
            </w:r>
          </w:p>
        </w:tc>
        <w:tc>
          <w:tcPr>
            <w:tcW w:w="3192" w:type="dxa"/>
          </w:tcPr>
          <w:p w:rsidR="0084262F" w:rsidRDefault="0084262F" w:rsidP="0084262F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Gotham-Book" w:hAnsi="Times New Roman" w:cs="Times New Roman"/>
                <w:sz w:val="28"/>
                <w:szCs w:val="16"/>
              </w:rPr>
            </w:pPr>
            <w:r>
              <w:rPr>
                <w:rFonts w:ascii="Times New Roman" w:eastAsia="Gotham-Book" w:hAnsi="Times New Roman" w:cs="Times New Roman"/>
                <w:sz w:val="28"/>
                <w:szCs w:val="16"/>
              </w:rPr>
              <w:t>diplomat</w:t>
            </w:r>
          </w:p>
        </w:tc>
      </w:tr>
      <w:tr w:rsidR="0084262F" w:rsidTr="0084262F">
        <w:tc>
          <w:tcPr>
            <w:tcW w:w="3192" w:type="dxa"/>
          </w:tcPr>
          <w:p w:rsidR="0084262F" w:rsidRDefault="0084262F" w:rsidP="0084262F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Gotham-Book" w:hAnsi="Times New Roman" w:cs="Times New Roman"/>
                <w:sz w:val="28"/>
                <w:szCs w:val="16"/>
              </w:rPr>
            </w:pPr>
          </w:p>
        </w:tc>
        <w:tc>
          <w:tcPr>
            <w:tcW w:w="3192" w:type="dxa"/>
          </w:tcPr>
          <w:p w:rsidR="0084262F" w:rsidRDefault="0084262F" w:rsidP="0084262F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Gotham-Book" w:hAnsi="Times New Roman" w:cs="Times New Roman"/>
                <w:sz w:val="28"/>
                <w:szCs w:val="16"/>
              </w:rPr>
            </w:pPr>
            <w:r>
              <w:rPr>
                <w:rFonts w:ascii="Times New Roman" w:eastAsia="Gotham-Book" w:hAnsi="Times New Roman" w:cs="Times New Roman"/>
                <w:sz w:val="28"/>
                <w:szCs w:val="16"/>
              </w:rPr>
              <w:t>warriors</w:t>
            </w:r>
          </w:p>
        </w:tc>
        <w:tc>
          <w:tcPr>
            <w:tcW w:w="3192" w:type="dxa"/>
          </w:tcPr>
          <w:p w:rsidR="0084262F" w:rsidRDefault="0084262F" w:rsidP="0084262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eastAsia="Gotham-Book" w:hAnsi="Times New Roman" w:cs="Times New Roman"/>
                <w:sz w:val="28"/>
                <w:szCs w:val="16"/>
              </w:rPr>
            </w:pPr>
          </w:p>
        </w:tc>
      </w:tr>
      <w:tr w:rsidR="0084262F" w:rsidTr="0084262F">
        <w:tc>
          <w:tcPr>
            <w:tcW w:w="3192" w:type="dxa"/>
          </w:tcPr>
          <w:p w:rsidR="0084262F" w:rsidRDefault="0084262F" w:rsidP="0084262F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Gotham-Book" w:hAnsi="Times New Roman" w:cs="Times New Roman"/>
                <w:sz w:val="28"/>
                <w:szCs w:val="16"/>
              </w:rPr>
            </w:pPr>
            <w:r>
              <w:rPr>
                <w:rFonts w:ascii="Times New Roman" w:eastAsia="Gotham-Book" w:hAnsi="Times New Roman" w:cs="Times New Roman"/>
                <w:sz w:val="28"/>
                <w:szCs w:val="16"/>
              </w:rPr>
              <w:t>shelter</w:t>
            </w:r>
          </w:p>
        </w:tc>
        <w:tc>
          <w:tcPr>
            <w:tcW w:w="3192" w:type="dxa"/>
          </w:tcPr>
          <w:p w:rsidR="0084262F" w:rsidRDefault="0084262F" w:rsidP="0084262F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Gotham-Book" w:hAnsi="Times New Roman" w:cs="Times New Roman"/>
                <w:sz w:val="28"/>
                <w:szCs w:val="16"/>
              </w:rPr>
            </w:pPr>
            <w:r>
              <w:rPr>
                <w:rFonts w:ascii="Times New Roman" w:eastAsia="Gotham-Book" w:hAnsi="Times New Roman" w:cs="Times New Roman"/>
                <w:sz w:val="28"/>
                <w:szCs w:val="16"/>
              </w:rPr>
              <w:t>comfort</w:t>
            </w:r>
          </w:p>
        </w:tc>
        <w:tc>
          <w:tcPr>
            <w:tcW w:w="3192" w:type="dxa"/>
          </w:tcPr>
          <w:p w:rsidR="0084262F" w:rsidRDefault="0084262F" w:rsidP="0084262F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Gotham-Book" w:hAnsi="Times New Roman" w:cs="Times New Roman"/>
                <w:sz w:val="28"/>
                <w:szCs w:val="16"/>
              </w:rPr>
            </w:pPr>
            <w:r>
              <w:rPr>
                <w:rFonts w:ascii="Times New Roman" w:eastAsia="Gotham-Book" w:hAnsi="Times New Roman" w:cs="Times New Roman"/>
                <w:sz w:val="28"/>
                <w:szCs w:val="16"/>
              </w:rPr>
              <w:t>ceremony</w:t>
            </w:r>
          </w:p>
        </w:tc>
      </w:tr>
    </w:tbl>
    <w:p w:rsidR="0084262F" w:rsidRDefault="0084262F" w:rsidP="008426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7E27DC" w:rsidRDefault="007E27DC" w:rsidP="008426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Students should read the words (independently and/or aloud) and take a survey, rating the words with 1-2- 3.  (1—I know this word and can use it in a sentence.  2—I’ve heard this word before.  3—I’ve never heard of this word before)</w:t>
      </w:r>
    </w:p>
    <w:p w:rsidR="007E27DC" w:rsidRDefault="007E27DC" w:rsidP="008426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7E27DC" w:rsidRDefault="007E27DC" w:rsidP="0084262F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Students partner and share what they know with partner then with the group as a whole.</w:t>
      </w:r>
    </w:p>
    <w:p w:rsidR="0084262F" w:rsidRPr="0084262F" w:rsidRDefault="0084262F" w:rsidP="0084262F">
      <w:pPr>
        <w:autoSpaceDE w:val="0"/>
        <w:autoSpaceDN w:val="0"/>
        <w:adjustRightInd w:val="0"/>
        <w:spacing w:after="0" w:line="240" w:lineRule="auto"/>
        <w:ind w:left="1080"/>
        <w:rPr>
          <w:rFonts w:ascii="Times New Roman" w:eastAsia="Gotham-Book" w:hAnsi="Times New Roman" w:cs="Times New Roman"/>
          <w:sz w:val="28"/>
          <w:szCs w:val="16"/>
        </w:rPr>
      </w:pPr>
    </w:p>
    <w:p w:rsidR="007C09AF" w:rsidRDefault="007C09AF" w:rsidP="007C09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Ask students, “</w:t>
      </w:r>
      <w:r w:rsidR="0084262F">
        <w:rPr>
          <w:rFonts w:ascii="Times New Roman" w:eastAsia="Gotham-Book" w:hAnsi="Times New Roman" w:cs="Times New Roman"/>
          <w:sz w:val="28"/>
          <w:szCs w:val="16"/>
        </w:rPr>
        <w:t>Based on the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 statements</w:t>
      </w:r>
      <w:r w:rsidR="0084262F">
        <w:rPr>
          <w:rFonts w:ascii="Times New Roman" w:eastAsia="Gotham-Book" w:hAnsi="Times New Roman" w:cs="Times New Roman"/>
          <w:sz w:val="28"/>
          <w:szCs w:val="16"/>
        </w:rPr>
        <w:t xml:space="preserve"> and the words in the chart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, </w:t>
      </w:r>
      <w:r w:rsidR="0084262F">
        <w:rPr>
          <w:rFonts w:ascii="Times New Roman" w:eastAsia="Gotham-Book" w:hAnsi="Times New Roman" w:cs="Times New Roman"/>
          <w:sz w:val="28"/>
          <w:szCs w:val="16"/>
        </w:rPr>
        <w:t>what predictions do you have about the</w:t>
      </w:r>
      <w:r>
        <w:rPr>
          <w:rFonts w:ascii="Times New Roman" w:eastAsia="Gotham-Book" w:hAnsi="Times New Roman" w:cs="Times New Roman"/>
          <w:sz w:val="28"/>
          <w:szCs w:val="16"/>
        </w:rPr>
        <w:t xml:space="preserve"> story?”  (Record/Chart responses—guide responses around story features of setting, characters, purpose…)</w:t>
      </w:r>
    </w:p>
    <w:p w:rsidR="007E27DC" w:rsidRDefault="007E27DC" w:rsidP="007E27DC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7E27DC" w:rsidRDefault="007E27DC" w:rsidP="007E27DC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During Reading:</w:t>
      </w:r>
    </w:p>
    <w:p w:rsidR="007E27DC" w:rsidRDefault="007E27DC" w:rsidP="007E27DC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7E27DC" w:rsidRDefault="007E27DC" w:rsidP="007E27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 xml:space="preserve"> As students read, encourage them to make notes and questions in the margin about what they are thinking or what questions they have as they read.</w:t>
      </w:r>
    </w:p>
    <w:p w:rsidR="007E27DC" w:rsidRDefault="007E27DC" w:rsidP="007E27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Students read independently, with a partner, or small group (with teacher guidance).</w:t>
      </w:r>
    </w:p>
    <w:p w:rsidR="007E27DC" w:rsidRDefault="007E27DC" w:rsidP="007E27D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Share questions/thoughts written during reading.</w:t>
      </w:r>
    </w:p>
    <w:p w:rsidR="007E27DC" w:rsidRDefault="007E27DC" w:rsidP="007E27DC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7E27DC" w:rsidRDefault="007E27DC" w:rsidP="007E27DC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After Reading:</w:t>
      </w:r>
    </w:p>
    <w:p w:rsidR="007E27DC" w:rsidRDefault="007E27DC" w:rsidP="007E27DC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7E27DC" w:rsidRDefault="007E27DC" w:rsidP="007E27D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 xml:space="preserve"> Students return to their Anticipation/Reaction guide and respond to the statements under “after reading”.</w:t>
      </w:r>
    </w:p>
    <w:p w:rsidR="007E27DC" w:rsidRDefault="007E27DC" w:rsidP="007E27D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lastRenderedPageBreak/>
        <w:t>Discuss opinions that may have changed.  Students should be expected to justify what changed their opinion, based on the text and REFERRING to the text.</w:t>
      </w:r>
    </w:p>
    <w:p w:rsidR="007E27DC" w:rsidRDefault="007E27DC" w:rsidP="007E27DC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7E27DC" w:rsidRDefault="00F151C2" w:rsidP="007E27DC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After Reading</w:t>
      </w:r>
    </w:p>
    <w:p w:rsidR="007E27DC" w:rsidRDefault="007E27DC" w:rsidP="007E27DC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Revisiting the Text:</w:t>
      </w:r>
    </w:p>
    <w:p w:rsidR="007E27DC" w:rsidRDefault="007E27DC" w:rsidP="007E27DC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7E27DC" w:rsidRDefault="00FD0984" w:rsidP="00FD09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Connect with previous lesson by r</w:t>
      </w:r>
      <w:r w:rsidR="007E27DC">
        <w:rPr>
          <w:rFonts w:ascii="Times New Roman" w:eastAsia="Gotham-Book" w:hAnsi="Times New Roman" w:cs="Times New Roman"/>
          <w:sz w:val="28"/>
          <w:szCs w:val="16"/>
        </w:rPr>
        <w:t>eview</w:t>
      </w:r>
      <w:r>
        <w:rPr>
          <w:rFonts w:ascii="Times New Roman" w:eastAsia="Gotham-Book" w:hAnsi="Times New Roman" w:cs="Times New Roman"/>
          <w:sz w:val="28"/>
          <w:szCs w:val="16"/>
        </w:rPr>
        <w:t>ing the</w:t>
      </w:r>
      <w:r w:rsidR="007E27DC">
        <w:rPr>
          <w:rFonts w:ascii="Times New Roman" w:eastAsia="Gotham-Book" w:hAnsi="Times New Roman" w:cs="Times New Roman"/>
          <w:sz w:val="28"/>
          <w:szCs w:val="16"/>
        </w:rPr>
        <w:t xml:space="preserve"> story’s information</w:t>
      </w:r>
      <w:r>
        <w:rPr>
          <w:rFonts w:ascii="Times New Roman" w:eastAsia="Gotham-Book" w:hAnsi="Times New Roman" w:cs="Times New Roman"/>
          <w:sz w:val="28"/>
          <w:szCs w:val="16"/>
        </w:rPr>
        <w:t>--</w:t>
      </w:r>
      <w:r w:rsidR="007E27DC">
        <w:rPr>
          <w:rFonts w:ascii="Times New Roman" w:eastAsia="Gotham-Book" w:hAnsi="Times New Roman" w:cs="Times New Roman"/>
          <w:sz w:val="28"/>
          <w:szCs w:val="16"/>
        </w:rPr>
        <w:t xml:space="preserve"> asking students to retell (summarize) the story, “14 Cows for America”.</w:t>
      </w:r>
    </w:p>
    <w:p w:rsidR="00F151C2" w:rsidRDefault="00F151C2" w:rsidP="00FD098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Discuss/review “Fables” as a genre and that they have a moral.</w:t>
      </w:r>
    </w:p>
    <w:p w:rsidR="007E27DC" w:rsidRDefault="00F151C2" w:rsidP="00F15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 w:rsidRPr="00F151C2">
        <w:rPr>
          <w:rFonts w:ascii="Times New Roman" w:eastAsia="Gotham-Book" w:hAnsi="Times New Roman" w:cs="Times New Roman"/>
          <w:sz w:val="28"/>
          <w:szCs w:val="16"/>
        </w:rPr>
        <w:t xml:space="preserve">View “Lion and the Mouse” video at </w:t>
      </w:r>
      <w:hyperlink r:id="rId5" w:history="1">
        <w:r w:rsidRPr="00F025E2">
          <w:rPr>
            <w:rStyle w:val="Hyperlink"/>
            <w:rFonts w:ascii="Times New Roman" w:eastAsia="Gotham-Book" w:hAnsi="Times New Roman" w:cs="Times New Roman"/>
            <w:sz w:val="28"/>
            <w:szCs w:val="16"/>
          </w:rPr>
          <w:t>http://www.youtube.com/watch?v=SXYW0blGk4w&amp;feature=relmfu</w:t>
        </w:r>
      </w:hyperlink>
      <w:r>
        <w:rPr>
          <w:rFonts w:ascii="Times New Roman" w:eastAsia="Gotham-Book" w:hAnsi="Times New Roman" w:cs="Times New Roman"/>
          <w:sz w:val="28"/>
          <w:szCs w:val="16"/>
        </w:rPr>
        <w:t xml:space="preserve"> </w:t>
      </w:r>
    </w:p>
    <w:p w:rsidR="00F151C2" w:rsidRDefault="00F151C2" w:rsidP="00F15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Discuss what the students interpret as the moral to the story.</w:t>
      </w:r>
    </w:p>
    <w:p w:rsidR="00F151C2" w:rsidRDefault="00F151C2" w:rsidP="00F15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Using the “Synthesis” frame sheet, ask students to revisit “14 Cows for America” and find text that would support a connection to the moral “Tiny can do BIG things”.</w:t>
      </w:r>
    </w:p>
    <w:p w:rsidR="00F151C2" w:rsidRDefault="00F151C2" w:rsidP="00F15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Illustrate their opinion.</w:t>
      </w:r>
    </w:p>
    <w:p w:rsidR="00F151C2" w:rsidRDefault="00F151C2" w:rsidP="00F15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  <w:r>
        <w:rPr>
          <w:rFonts w:ascii="Times New Roman" w:eastAsia="Gotham-Book" w:hAnsi="Times New Roman" w:cs="Times New Roman"/>
          <w:sz w:val="28"/>
          <w:szCs w:val="16"/>
        </w:rPr>
        <w:t>Share.</w:t>
      </w:r>
    </w:p>
    <w:p w:rsidR="00F151C2" w:rsidRDefault="00F151C2" w:rsidP="00F151C2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F151C2" w:rsidRPr="00F151C2" w:rsidRDefault="00F151C2" w:rsidP="00F151C2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7E27DC" w:rsidRPr="007E27DC" w:rsidRDefault="007E27DC" w:rsidP="007E27DC">
      <w:pPr>
        <w:autoSpaceDE w:val="0"/>
        <w:autoSpaceDN w:val="0"/>
        <w:adjustRightInd w:val="0"/>
        <w:spacing w:after="0" w:line="240" w:lineRule="auto"/>
        <w:rPr>
          <w:rFonts w:ascii="Times New Roman" w:eastAsia="Gotham-Book" w:hAnsi="Times New Roman" w:cs="Times New Roman"/>
          <w:sz w:val="28"/>
          <w:szCs w:val="16"/>
        </w:rPr>
      </w:pPr>
    </w:p>
    <w:p w:rsidR="00871FC5" w:rsidRPr="00871FC5" w:rsidRDefault="00871FC5" w:rsidP="00871FC5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rFonts w:ascii="Times New Roman" w:eastAsia="Gotham-Book" w:hAnsi="Times New Roman" w:cs="Times New Roman"/>
          <w:sz w:val="28"/>
          <w:szCs w:val="16"/>
        </w:rPr>
      </w:pPr>
    </w:p>
    <w:p w:rsidR="00C42BD5" w:rsidRPr="00907B6F" w:rsidRDefault="00C42BD5" w:rsidP="00907B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72"/>
        </w:rPr>
      </w:pPr>
    </w:p>
    <w:sectPr w:rsidR="00C42BD5" w:rsidRPr="00907B6F" w:rsidSect="007E27DC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otham-Book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92186"/>
    <w:multiLevelType w:val="hybridMultilevel"/>
    <w:tmpl w:val="889A0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757A7"/>
    <w:multiLevelType w:val="hybridMultilevel"/>
    <w:tmpl w:val="A970A9AC"/>
    <w:lvl w:ilvl="0" w:tplc="B562FE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072065"/>
    <w:multiLevelType w:val="hybridMultilevel"/>
    <w:tmpl w:val="36F49CE2"/>
    <w:lvl w:ilvl="0" w:tplc="A6E2C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AE434B"/>
    <w:multiLevelType w:val="hybridMultilevel"/>
    <w:tmpl w:val="56E4C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B6F"/>
    <w:rsid w:val="00010C15"/>
    <w:rsid w:val="007C09AF"/>
    <w:rsid w:val="007E27DC"/>
    <w:rsid w:val="0084262F"/>
    <w:rsid w:val="00871FC5"/>
    <w:rsid w:val="00907B6F"/>
    <w:rsid w:val="00C42BD5"/>
    <w:rsid w:val="00F151C2"/>
    <w:rsid w:val="00FD0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FC5"/>
    <w:pPr>
      <w:ind w:left="720"/>
      <w:contextualSpacing/>
    </w:pPr>
  </w:style>
  <w:style w:type="table" w:styleId="TableGrid">
    <w:name w:val="Table Grid"/>
    <w:basedOn w:val="TableNormal"/>
    <w:uiPriority w:val="59"/>
    <w:rsid w:val="008426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151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SXYW0blGk4w&amp;feature=relmf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skinzel</dc:creator>
  <cp:lastModifiedBy>skinzel</cp:lastModifiedBy>
  <cp:revision>1</cp:revision>
  <dcterms:created xsi:type="dcterms:W3CDTF">2011-09-21T17:27:00Z</dcterms:created>
  <dcterms:modified xsi:type="dcterms:W3CDTF">2011-09-21T18:56:00Z</dcterms:modified>
</cp:coreProperties>
</file>